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«Пешеходный мост через озеро Песчаное» Оренбургская область, г. Орск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4D0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«Пешеходный мост через озеро Песчаное» Оренбургская область, г. Орск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«Городские парки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/>
                <w:sz w:val="24"/>
                <w:szCs w:val="24"/>
              </w:rPr>
              <w:t>Орска» (МА</w:t>
            </w:r>
            <w:r>
              <w:rPr>
                <w:rFonts w:ascii="Times New Roman" w:hAnsi="Times New Roman"/>
                <w:sz w:val="24"/>
                <w:szCs w:val="24"/>
              </w:rPr>
              <w:t>УК «Городские парки г. Орска»)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F" w:rsidRPr="00CB1C6F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нахождения):462404, Оренбу</w:t>
            </w:r>
            <w:r>
              <w:rPr>
                <w:rFonts w:ascii="Times New Roman" w:hAnsi="Times New Roman"/>
                <w:sz w:val="24"/>
                <w:szCs w:val="24"/>
              </w:rPr>
              <w:t>ргская область, г. Орск, ул. Ку</w:t>
            </w:r>
            <w:r w:rsidRPr="00CB1C6F">
              <w:rPr>
                <w:rFonts w:ascii="Times New Roman" w:hAnsi="Times New Roman"/>
                <w:sz w:val="24"/>
                <w:szCs w:val="24"/>
              </w:rPr>
              <w:t>тузова, д. 1А.</w:t>
            </w:r>
          </w:p>
          <w:p w:rsidR="006E12C8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Фактический адрес: 462404, Оренбургская область, г. Орск, ул. Кутузова, д. 1А.</w:t>
            </w:r>
          </w:p>
          <w:p w:rsidR="00CB1C6F" w:rsidRPr="00CB1C6F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ОГРН 1195658003507.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/>
                <w:sz w:val="24"/>
                <w:szCs w:val="24"/>
              </w:rPr>
              <w:t>ИНН 5614082759.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/>
                <w:sz w:val="24"/>
                <w:szCs w:val="24"/>
              </w:rPr>
              <w:t>КПП 561401001.</w:t>
            </w:r>
          </w:p>
          <w:p w:rsidR="00CB1C6F" w:rsidRPr="00CB1C6F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Адрес электронной почты: park-stroit@mail.ru.</w:t>
            </w:r>
          </w:p>
          <w:p w:rsidR="00CB1C6F" w:rsidRPr="004D0232" w:rsidRDefault="00CB1C6F" w:rsidP="00CB1C6F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+7 909 618-70-54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F" w:rsidRPr="00CB1C6F" w:rsidRDefault="00CB1C6F" w:rsidP="00CB1C6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«Бюро по проектированию предприятий металлургической промышленности». (ООО «Никель-проект»). ГИП - Батухтина Е.Б.</w:t>
            </w:r>
          </w:p>
          <w:p w:rsidR="00CB1C6F" w:rsidRPr="00CB1C6F" w:rsidRDefault="00CB1C6F" w:rsidP="00CB1C6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ОГРН 1055614033309.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ИНН 5614027211.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КПП 561401001.</w:t>
            </w:r>
          </w:p>
          <w:p w:rsidR="00CB1C6F" w:rsidRPr="00CB1C6F" w:rsidRDefault="00CB1C6F" w:rsidP="00CB1C6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draft@email.orgus.ru. </w:t>
            </w:r>
          </w:p>
          <w:p w:rsidR="00CB1C6F" w:rsidRPr="00CB1C6F" w:rsidRDefault="00CB1C6F" w:rsidP="00CB1C6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Телефон: +7(3537) 22-07-54.</w:t>
            </w:r>
          </w:p>
          <w:p w:rsidR="00CB1C6F" w:rsidRPr="00CB1C6F" w:rsidRDefault="00CB1C6F" w:rsidP="00CB1C6F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лица: 462401, Оренбургская область, г. Орск, ул. Строителей, д. 35А.</w:t>
            </w:r>
          </w:p>
          <w:p w:rsidR="00ED3FBF" w:rsidRPr="002269D1" w:rsidRDefault="00CB1C6F" w:rsidP="00CB1C6F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Фактический адрес: 462401, Оренбургская область, г. Орск, ул. Строителей, д. 35А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706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C6F">
              <w:rPr>
                <w:rFonts w:ascii="Times New Roman" w:hAnsi="Times New Roman"/>
                <w:sz w:val="24"/>
                <w:szCs w:val="24"/>
              </w:rPr>
              <w:t>462401, Оренбургская область, г. Орск, ул. Докучаева, 8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2269D1" w:rsidRDefault="00CB1C6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56-1-1-3-007606</w:t>
            </w:r>
            <w:r w:rsidR="002269D1" w:rsidRPr="002269D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5360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CB1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6F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CB1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6"/>
              <w:gridCol w:w="2313"/>
            </w:tblGrid>
            <w:tr w:rsidR="00CB1C6F" w:rsidRPr="00CB1C6F" w:rsidTr="00CB1C6F">
              <w:tc>
                <w:tcPr>
                  <w:tcW w:w="3409" w:type="pct"/>
                  <w:vAlign w:val="center"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  <w:bCs/>
                    </w:rPr>
                    <w:t xml:space="preserve">Предоставленная </w:t>
                  </w:r>
                  <w:r w:rsidRPr="00CB1C6F">
                    <w:rPr>
                      <w:rFonts w:ascii="Times New Roman" w:hAnsi="Times New Roman"/>
                    </w:rPr>
                    <w:t>в ценах 4 квартала 2019 года, в том числе:</w:t>
                  </w:r>
                </w:p>
              </w:tc>
              <w:tc>
                <w:tcPr>
                  <w:tcW w:w="1591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28753,17 тыс. руб.,</w:t>
                  </w:r>
                </w:p>
              </w:tc>
            </w:tr>
            <w:tr w:rsidR="00CB1C6F" w:rsidRPr="00CB1C6F" w:rsidTr="00CB1C6F">
              <w:tc>
                <w:tcPr>
                  <w:tcW w:w="3409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СМР</w:t>
                  </w:r>
                </w:p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Прочие</w:t>
                  </w:r>
                </w:p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1591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22910,86 тыс. руб.,</w:t>
                  </w:r>
                </w:p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1050,12 тыс. руб.,</w:t>
                  </w:r>
                </w:p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4792,19 тыс. руб.</w:t>
                  </w:r>
                </w:p>
              </w:tc>
            </w:tr>
            <w:tr w:rsidR="00CB1C6F" w:rsidRPr="00CB1C6F" w:rsidTr="00CB1C6F">
              <w:tc>
                <w:tcPr>
                  <w:tcW w:w="3409" w:type="pct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  <w:bCs/>
                    </w:rPr>
                    <w:t xml:space="preserve">Рекомендованная к утверждению в ценах 4 квартала 2020 года, </w:t>
                  </w:r>
                </w:p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  <w:bCs/>
                    </w:rPr>
                    <w:t>в том числе:</w:t>
                  </w:r>
                </w:p>
              </w:tc>
              <w:tc>
                <w:tcPr>
                  <w:tcW w:w="1591" w:type="pct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32142,50 тыс. руб.,</w:t>
                  </w:r>
                </w:p>
              </w:tc>
            </w:tr>
            <w:tr w:rsidR="00CB1C6F" w:rsidRPr="00CB1C6F" w:rsidTr="00CB1C6F">
              <w:tc>
                <w:tcPr>
                  <w:tcW w:w="3409" w:type="pct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  <w:bCs/>
                    </w:rPr>
                    <w:t>СМР</w:t>
                  </w:r>
                </w:p>
              </w:tc>
              <w:tc>
                <w:tcPr>
                  <w:tcW w:w="1591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25552,18 тыс. руб.,</w:t>
                  </w:r>
                </w:p>
              </w:tc>
            </w:tr>
            <w:tr w:rsidR="00CB1C6F" w:rsidRPr="00CB1C6F" w:rsidTr="00CB1C6F">
              <w:tc>
                <w:tcPr>
                  <w:tcW w:w="3409" w:type="pct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Прочие затраты</w:t>
                  </w:r>
                </w:p>
              </w:tc>
              <w:tc>
                <w:tcPr>
                  <w:tcW w:w="1591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1233,23 тыс. руб.,</w:t>
                  </w:r>
                </w:p>
              </w:tc>
            </w:tr>
            <w:tr w:rsidR="00CB1C6F" w:rsidRPr="00CB1C6F" w:rsidTr="00CB1C6F">
              <w:tc>
                <w:tcPr>
                  <w:tcW w:w="3409" w:type="pct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НДС 20%</w:t>
                  </w:r>
                </w:p>
              </w:tc>
              <w:tc>
                <w:tcPr>
                  <w:tcW w:w="1591" w:type="pct"/>
                  <w:vAlign w:val="center"/>
                  <w:hideMark/>
                </w:tcPr>
                <w:p w:rsidR="00CB1C6F" w:rsidRPr="00CB1C6F" w:rsidRDefault="00CB1C6F" w:rsidP="00CB1C6F">
                  <w:pPr>
                    <w:tabs>
                      <w:tab w:val="left" w:pos="7797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</w:rPr>
                  </w:pPr>
                  <w:r w:rsidRPr="00CB1C6F">
                    <w:rPr>
                      <w:rFonts w:ascii="Times New Roman" w:hAnsi="Times New Roman"/>
                    </w:rPr>
                    <w:t>5357,09 тыс. руб..</w:t>
                  </w:r>
                </w:p>
              </w:tc>
            </w:tr>
          </w:tbl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CB1C6F" w:rsidP="007069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81BA9">
              <w:rPr>
                <w:rFonts w:ascii="Times New Roman" w:hAnsi="Times New Roman"/>
                <w:bCs/>
                <w:sz w:val="24"/>
                <w:szCs w:val="24"/>
              </w:rPr>
              <w:t xml:space="preserve">ешеходный мост </w:t>
            </w:r>
            <w:r w:rsidRPr="00A81BA9">
              <w:rPr>
                <w:rFonts w:ascii="Times New Roman" w:hAnsi="Times New Roman"/>
                <w:sz w:val="24"/>
                <w:szCs w:val="24"/>
              </w:rPr>
              <w:t>через озеро Песчаное</w:t>
            </w:r>
            <w:r w:rsidRPr="00A81B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1BA9">
              <w:rPr>
                <w:rFonts w:ascii="Times New Roman" w:hAnsi="Times New Roman"/>
                <w:sz w:val="24"/>
                <w:szCs w:val="24"/>
              </w:rPr>
              <w:t>соединяет жилую зону поселка Строителей и па</w:t>
            </w:r>
            <w:r w:rsidRPr="00A81BA9">
              <w:rPr>
                <w:rFonts w:ascii="Times New Roman" w:hAnsi="Times New Roman"/>
                <w:sz w:val="24"/>
                <w:szCs w:val="24"/>
              </w:rPr>
              <w:t>р</w:t>
            </w:r>
            <w:r w:rsidRPr="00A81BA9">
              <w:rPr>
                <w:rFonts w:ascii="Times New Roman" w:hAnsi="Times New Roman"/>
                <w:sz w:val="24"/>
                <w:szCs w:val="24"/>
              </w:rPr>
              <w:t>ковую зону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11"/>
              <w:gridCol w:w="974"/>
              <w:gridCol w:w="1384"/>
            </w:tblGrid>
            <w:tr w:rsidR="00CB1C6F" w:rsidRPr="00CB1C6F" w:rsidTr="00CB1C6F">
              <w:tc>
                <w:tcPr>
                  <w:tcW w:w="3378" w:type="pct"/>
                  <w:vAlign w:val="center"/>
                </w:tcPr>
                <w:p w:rsidR="00CB1C6F" w:rsidRPr="0068121F" w:rsidRDefault="00CB1C6F" w:rsidP="00CB1C6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8121F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670" w:type="pct"/>
                  <w:vAlign w:val="center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Ед. изм.</w:t>
                  </w:r>
                </w:p>
              </w:tc>
              <w:tc>
                <w:tcPr>
                  <w:tcW w:w="952" w:type="pct"/>
                  <w:vAlign w:val="center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По проекту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Длина моста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76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Ширина моста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2,78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lastRenderedPageBreak/>
                    <w:t>Ширина пешеходной зоны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2,5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 xml:space="preserve">Высота (отметка наивысшей точки) 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м</w:t>
                  </w: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11,85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Высота от меженного горизонта до пешеходной повер</w:t>
                  </w:r>
                  <w:r w:rsidRPr="00CB1C6F">
                    <w:rPr>
                      <w:rFonts w:ascii="Times New Roman" w:hAnsi="Times New Roman"/>
                    </w:rPr>
                    <w:t>х</w:t>
                  </w:r>
                  <w:r w:rsidRPr="00CB1C6F">
                    <w:rPr>
                      <w:rFonts w:ascii="Times New Roman" w:hAnsi="Times New Roman"/>
                    </w:rPr>
                    <w:t xml:space="preserve">ности 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4,1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Длина подходов (соответственно со стороны жилого района и парка)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30,0 и 18,5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Уровень ответственности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но</w:t>
                  </w:r>
                  <w:r w:rsidRPr="00CB1C6F">
                    <w:rPr>
                      <w:rFonts w:ascii="Times New Roman" w:hAnsi="Times New Roman"/>
                    </w:rPr>
                    <w:t>р</w:t>
                  </w:r>
                  <w:r w:rsidRPr="00CB1C6F">
                    <w:rPr>
                      <w:rFonts w:ascii="Times New Roman" w:hAnsi="Times New Roman"/>
                    </w:rPr>
                    <w:t>мальный</w:t>
                  </w:r>
                </w:p>
              </w:tc>
            </w:tr>
            <w:tr w:rsidR="00CB1C6F" w:rsidRPr="00CB1C6F" w:rsidTr="00CB1C6F">
              <w:tc>
                <w:tcPr>
                  <w:tcW w:w="3378" w:type="pct"/>
                </w:tcPr>
                <w:p w:rsidR="00CB1C6F" w:rsidRPr="00CB1C6F" w:rsidRDefault="00CB1C6F" w:rsidP="00CB1C6F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 xml:space="preserve">Продолжительность строительства </w:t>
                  </w:r>
                </w:p>
              </w:tc>
              <w:tc>
                <w:tcPr>
                  <w:tcW w:w="670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мес.</w:t>
                  </w:r>
                </w:p>
              </w:tc>
              <w:tc>
                <w:tcPr>
                  <w:tcW w:w="952" w:type="pct"/>
                </w:tcPr>
                <w:p w:rsidR="00CB1C6F" w:rsidRPr="00CB1C6F" w:rsidRDefault="00CB1C6F" w:rsidP="00CB1C6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B1C6F">
                    <w:rPr>
                      <w:rFonts w:ascii="Times New Roman" w:hAnsi="Times New Roman"/>
                    </w:rPr>
                    <w:t>7,0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069FE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CB1C6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069FE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CB1C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 w:rsidP="0068121F">
      <w:pPr>
        <w:spacing w:after="0" w:line="240" w:lineRule="auto"/>
      </w:pPr>
    </w:p>
    <w:sectPr w:rsidR="006B0BC5" w:rsidSect="0068121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61" w:rsidRPr="0068121F" w:rsidRDefault="00B67361" w:rsidP="0068121F">
      <w:pPr>
        <w:pStyle w:val="a3"/>
        <w:spacing w:before="0" w:after="0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1">
    <w:p w:rsidR="00B67361" w:rsidRPr="0068121F" w:rsidRDefault="00B67361" w:rsidP="0068121F">
      <w:pPr>
        <w:pStyle w:val="a3"/>
        <w:spacing w:before="0" w:after="0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61" w:rsidRPr="0068121F" w:rsidRDefault="00B67361" w:rsidP="0068121F">
      <w:pPr>
        <w:pStyle w:val="a3"/>
        <w:spacing w:before="0" w:after="0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1">
    <w:p w:rsidR="00B67361" w:rsidRPr="0068121F" w:rsidRDefault="00B67361" w:rsidP="0068121F">
      <w:pPr>
        <w:pStyle w:val="a3"/>
        <w:spacing w:before="0" w:after="0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413385"/>
    <w:rsid w:val="00460B63"/>
    <w:rsid w:val="004628E9"/>
    <w:rsid w:val="004708AD"/>
    <w:rsid w:val="00472B93"/>
    <w:rsid w:val="004D0232"/>
    <w:rsid w:val="00506768"/>
    <w:rsid w:val="005360DA"/>
    <w:rsid w:val="00564801"/>
    <w:rsid w:val="005E607C"/>
    <w:rsid w:val="00631A9D"/>
    <w:rsid w:val="0068121F"/>
    <w:rsid w:val="00683158"/>
    <w:rsid w:val="00686DF1"/>
    <w:rsid w:val="006B0BC5"/>
    <w:rsid w:val="006E12C8"/>
    <w:rsid w:val="007069FE"/>
    <w:rsid w:val="00777D85"/>
    <w:rsid w:val="008112B8"/>
    <w:rsid w:val="008309CB"/>
    <w:rsid w:val="00836E4B"/>
    <w:rsid w:val="00870D0B"/>
    <w:rsid w:val="00882EBC"/>
    <w:rsid w:val="008B0809"/>
    <w:rsid w:val="008B2A00"/>
    <w:rsid w:val="008C521A"/>
    <w:rsid w:val="00936C57"/>
    <w:rsid w:val="009B6C8B"/>
    <w:rsid w:val="00A5642B"/>
    <w:rsid w:val="00AE55FE"/>
    <w:rsid w:val="00B055B5"/>
    <w:rsid w:val="00B220BD"/>
    <w:rsid w:val="00B4564B"/>
    <w:rsid w:val="00B67361"/>
    <w:rsid w:val="00BB6C78"/>
    <w:rsid w:val="00BD151C"/>
    <w:rsid w:val="00C651CE"/>
    <w:rsid w:val="00CB1C6F"/>
    <w:rsid w:val="00D26A27"/>
    <w:rsid w:val="00D7294B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  <w:style w:type="paragraph" w:customStyle="1" w:styleId="Heading">
    <w:name w:val="Heading"/>
    <w:rsid w:val="007069FE"/>
    <w:pPr>
      <w:suppressAutoHyphens/>
      <w:autoSpaceDE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68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121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1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12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2021-03-30T07:26:00Z</dcterms:created>
  <dcterms:modified xsi:type="dcterms:W3CDTF">2021-03-30T07:26:00Z</dcterms:modified>
</cp:coreProperties>
</file>