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95AA8" w:rsidP="00A95A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 ул. </w:t>
            </w:r>
            <w:proofErr w:type="gramStart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, ул. Плановая, Муниципального образования город Медногорск Оренбургской области (ПИР)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95AA8" w:rsidP="00A95A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 ул. </w:t>
            </w:r>
            <w:proofErr w:type="gramStart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, ул. Плановая, Муниципального образования город Медногорск Оренбургской области (ПИР)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A9" w:rsidRPr="00A95AA8" w:rsidRDefault="00A95AA8" w:rsidP="00A95A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eastAsia="Calibri" w:hAnsi="Times New Roman"/>
                <w:sz w:val="24"/>
                <w:szCs w:val="24"/>
              </w:rPr>
              <w:t>Муниципальное учрежд</w:t>
            </w:r>
            <w:r w:rsidRPr="00A95AA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95AA8">
              <w:rPr>
                <w:rFonts w:ascii="Times New Roman" w:eastAsia="Calibri" w:hAnsi="Times New Roman"/>
                <w:sz w:val="24"/>
                <w:szCs w:val="24"/>
              </w:rPr>
              <w:t>ние администрация города Медногорска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95AA8" w:rsidP="00A95A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</w:t>
            </w:r>
            <w:r w:rsidRPr="00A95AA8">
              <w:rPr>
                <w:rFonts w:ascii="Times New Roman" w:eastAsia="Calibri" w:hAnsi="Times New Roman"/>
                <w:sz w:val="24"/>
                <w:szCs w:val="24"/>
              </w:rPr>
              <w:t xml:space="preserve">462270, Оренбургская область, </w:t>
            </w:r>
            <w:proofErr w:type="gramStart"/>
            <w:r w:rsidRPr="00A95AA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A95AA8">
              <w:rPr>
                <w:rFonts w:ascii="Times New Roman" w:eastAsia="Calibri" w:hAnsi="Times New Roman"/>
                <w:sz w:val="24"/>
                <w:szCs w:val="24"/>
              </w:rPr>
              <w:t>. Медногорск, ул. Советская, дом № 37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A8" w:rsidRPr="00A95AA8" w:rsidRDefault="00A95AA8" w:rsidP="00A95AA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95AA8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A95AA8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A95AA8">
              <w:rPr>
                <w:rFonts w:ascii="Times New Roman" w:hAnsi="Times New Roman"/>
                <w:sz w:val="24"/>
                <w:szCs w:val="24"/>
              </w:rPr>
              <w:t>Техстромпр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 w:rsidRPr="00A95AA8">
              <w:rPr>
                <w:rFonts w:ascii="Times New Roman" w:hAnsi="Times New Roman"/>
                <w:sz w:val="24"/>
                <w:szCs w:val="24"/>
              </w:rPr>
              <w:t xml:space="preserve">»). ГИП - А.Г. </w:t>
            </w:r>
            <w:proofErr w:type="spellStart"/>
            <w:r w:rsidRPr="00A95AA8">
              <w:rPr>
                <w:rFonts w:ascii="Times New Roman" w:hAnsi="Times New Roman"/>
                <w:sz w:val="24"/>
                <w:szCs w:val="24"/>
              </w:rPr>
              <w:t>Каликов</w:t>
            </w:r>
            <w:proofErr w:type="spellEnd"/>
            <w:r w:rsidRPr="00A95A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809" w:rsidRPr="00A95AA8" w:rsidRDefault="00A95AA8" w:rsidP="00A95AA8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 (ООО Инж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 xml:space="preserve">нерный центр «БСБ»).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ED3FBF" w:rsidP="00A95AA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95AA8" w:rsidP="00A95A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город Медногорск в границах квартала 56:41:0102041, 56:41:0102042, 56:41:0102043, 56:41:0102044, 56:41:0102045, 56:41:0102045, 56:41:0102047, 56:41:0102050 и по уличной сети с</w:t>
            </w:r>
            <w:proofErr w:type="gramStart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№ 56:41:0000000:1062 и иные виды пользования К№ 56:41:0000000:1772.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A95AA8" w:rsidRDefault="002B00B8" w:rsidP="00A95AA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56-1-1-3-</w:t>
            </w:r>
            <w:r w:rsidR="00A95AA8" w:rsidRPr="00A95AA8">
              <w:rPr>
                <w:rFonts w:ascii="Times New Roman" w:hAnsi="Times New Roman" w:cs="Times New Roman"/>
                <w:sz w:val="24"/>
                <w:szCs w:val="24"/>
              </w:rPr>
              <w:t>027425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2B00B8" w:rsidP="00A95AA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AA8" w:rsidRPr="00A9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C7A" w:rsidRPr="00A95A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A95A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6"/>
              <w:gridCol w:w="1985"/>
            </w:tblGrid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Предоставленная сметная стоимость: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- в ценах 2001 года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47260,749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61907,801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12381,56 тыс. руб.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 к утверждению сметная стоимость: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ценах 2001 года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8820,87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66095,47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51236,54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4330,03 тыс. руб.,</w:t>
                  </w:r>
                </w:p>
              </w:tc>
            </w:tr>
            <w:tr w:rsidR="00A95AA8" w:rsidRPr="00A95AA8" w:rsidTr="00A95AA8">
              <w:tc>
                <w:tcPr>
                  <w:tcW w:w="4846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985" w:type="dxa"/>
                </w:tcPr>
                <w:p w:rsidR="00A95AA8" w:rsidRPr="00A95AA8" w:rsidRDefault="00A95AA8" w:rsidP="00A95AA8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10528,9 тыс. руб.</w:t>
                  </w:r>
                </w:p>
              </w:tc>
            </w:tr>
          </w:tbl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A8" w:rsidRPr="00A95AA8" w:rsidRDefault="00A95AA8" w:rsidP="00A95AA8">
            <w:pPr>
              <w:pStyle w:val="a9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hAnsi="Times New Roman"/>
                <w:sz w:val="24"/>
                <w:szCs w:val="24"/>
              </w:rPr>
              <w:t>Кольцевая водопроводная сеть для подачи воды потребителю с нескольких сторон.</w:t>
            </w:r>
          </w:p>
          <w:p w:rsidR="006E12C8" w:rsidRPr="00E227F3" w:rsidRDefault="00A95AA8" w:rsidP="00A95AA8">
            <w:pPr>
              <w:pStyle w:val="a9"/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A8">
              <w:rPr>
                <w:rFonts w:ascii="Times New Roman" w:hAnsi="Times New Roman"/>
                <w:sz w:val="24"/>
                <w:szCs w:val="24"/>
              </w:rPr>
              <w:t>ВЛ-0,4 кВ для электроснабжения потребителей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63"/>
              <w:gridCol w:w="813"/>
              <w:gridCol w:w="1093"/>
            </w:tblGrid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ko-KR"/>
                    </w:rPr>
                  </w:pPr>
                  <w:r w:rsidRPr="00A95AA8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95AA8">
                    <w:rPr>
                      <w:rFonts w:ascii="Times New Roman" w:eastAsia="TimesNewRomanPS-ItalicMT" w:hAnsi="Times New Roman" w:cs="Times New Roman"/>
                      <w:b/>
                      <w:iCs/>
                    </w:rPr>
                    <w:t>Протяженность трассы водопроводной сети: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ПЭ100SDR26-280х10,7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две ни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т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ки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388,2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ПЭ100SDR26-280х10,7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47,3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lastRenderedPageBreak/>
                    <w:t xml:space="preserve">- из стальных труб Ø273х12 ГОСТ10704-91 в две нитки (дюкер через р. </w:t>
                  </w:r>
                  <w:proofErr w:type="spell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Бл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я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ва</w:t>
                  </w:r>
                  <w:proofErr w:type="spell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215,2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- из пол</w:t>
                  </w: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этиленовых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ПЭ100SDR26-225х8,6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1899,7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- из труб ПЭ100-RCSDR17-225х13,4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т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ку (дюкер через ручей)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32,5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ПЭ100-RCSDR17-225х13,4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т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ку в стесненных условиях (участок ПГ42-Уг46)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35,0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ПЭ100-RCSDR17-225х13,4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ГОСТ18599-2001в две нитки (переход ч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е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рез овраг)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13,5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ПЭ100SDR26-160х6,2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2351,5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ПЭ100-RCSDR17-160х9,5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две ни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т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ки (дюкер через ручей)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55,0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ПЭ100SDR26-110х4,2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782,8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из труб 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ПЭ100-RCSDR17-110х6,6 </w:t>
                  </w:r>
                  <w:proofErr w:type="gramStart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питьевая</w:t>
                  </w:r>
                  <w:proofErr w:type="gramEnd"/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 xml:space="preserve"> ГОСТ18599-2001 в две ни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т</w:t>
                  </w: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ки (переходы через овраг)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35,8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  <w:t>Пропускная способность кольцевой водопроводной сети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80,8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Строительная длина ВЛИ-0,4 кВ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1009,53</w:t>
                  </w:r>
                </w:p>
              </w:tc>
            </w:tr>
            <w:tr w:rsidR="00A95AA8" w:rsidRPr="00A95AA8" w:rsidTr="00A95AA8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A8" w:rsidRPr="00A95AA8" w:rsidRDefault="00A95AA8" w:rsidP="00A95AA8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A95AA8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95AA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A95AA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A5363"/>
    <w:multiLevelType w:val="hybridMultilevel"/>
    <w:tmpl w:val="7C9E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B00B8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1273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52F09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8E6668"/>
    <w:rsid w:val="00901FA9"/>
    <w:rsid w:val="0091153B"/>
    <w:rsid w:val="00926E8A"/>
    <w:rsid w:val="00936C57"/>
    <w:rsid w:val="00971851"/>
    <w:rsid w:val="009743FB"/>
    <w:rsid w:val="009B6C8B"/>
    <w:rsid w:val="009F3C2C"/>
    <w:rsid w:val="009F616B"/>
    <w:rsid w:val="00A5642B"/>
    <w:rsid w:val="00A95AA8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227F3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  <w:style w:type="paragraph" w:customStyle="1" w:styleId="TableContents">
    <w:name w:val="Table Contents"/>
    <w:basedOn w:val="a0"/>
    <w:rsid w:val="00E227F3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styleId="ae">
    <w:name w:val="Balloon Text"/>
    <w:basedOn w:val="a0"/>
    <w:link w:val="af"/>
    <w:rsid w:val="00A9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95AA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2020-07-09T04:52:00Z</dcterms:created>
  <dcterms:modified xsi:type="dcterms:W3CDTF">2020-07-09T04:59:00Z</dcterms:modified>
</cp:coreProperties>
</file>