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9E5B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Инженерная инфраструктура д. Тлявгулово Кувандыкского района Оренбургской о</w:t>
            </w:r>
            <w:r w:rsidRPr="009E5B2C">
              <w:rPr>
                <w:rFonts w:ascii="Times New Roman" w:hAnsi="Times New Roman" w:cs="Times New Roman"/>
                <w:sz w:val="24"/>
                <w:szCs w:val="24"/>
              </w:rPr>
              <w:t>б</w:t>
            </w:r>
            <w:r w:rsidRPr="009E5B2C">
              <w:rPr>
                <w:rFonts w:ascii="Times New Roman" w:hAnsi="Times New Roman" w:cs="Times New Roman"/>
                <w:sz w:val="24"/>
                <w:szCs w:val="24"/>
              </w:rPr>
              <w:t>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9E5B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Инженерная инфраструктура д. Тлявгулово Кувандыкского района Оренбургской о</w:t>
            </w:r>
            <w:r w:rsidRPr="009E5B2C">
              <w:rPr>
                <w:rFonts w:ascii="Times New Roman" w:hAnsi="Times New Roman" w:cs="Times New Roman"/>
                <w:sz w:val="24"/>
                <w:szCs w:val="24"/>
              </w:rPr>
              <w:t>б</w:t>
            </w:r>
            <w:r w:rsidRPr="009E5B2C">
              <w:rPr>
                <w:rFonts w:ascii="Times New Roman" w:hAnsi="Times New Roman" w:cs="Times New Roman"/>
                <w:sz w:val="24"/>
                <w:szCs w:val="24"/>
              </w:rPr>
              <w:t>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9E5B2C" w:rsidRDefault="009E5B2C" w:rsidP="009E5B2C">
            <w:pPr>
              <w:tabs>
                <w:tab w:val="left" w:pos="993"/>
              </w:tabs>
              <w:spacing w:after="0" w:line="240" w:lineRule="auto"/>
              <w:ind w:firstLine="221"/>
              <w:jc w:val="both"/>
              <w:rPr>
                <w:rFonts w:ascii="Times New Roman" w:hAnsi="Times New Roman"/>
                <w:sz w:val="24"/>
                <w:szCs w:val="24"/>
              </w:rPr>
            </w:pPr>
            <w:r w:rsidRPr="009E5B2C">
              <w:rPr>
                <w:rFonts w:ascii="Times New Roman" w:hAnsi="Times New Roman"/>
                <w:sz w:val="24"/>
                <w:szCs w:val="24"/>
              </w:rPr>
              <w:t>А</w:t>
            </w:r>
            <w:r w:rsidRPr="009E5B2C">
              <w:rPr>
                <w:rFonts w:ascii="Times New Roman" w:hAnsi="Times New Roman"/>
                <w:sz w:val="24"/>
                <w:szCs w:val="24"/>
              </w:rPr>
              <w:t>д</w:t>
            </w:r>
            <w:r w:rsidRPr="009E5B2C">
              <w:rPr>
                <w:rFonts w:ascii="Times New Roman" w:hAnsi="Times New Roman"/>
                <w:sz w:val="24"/>
                <w:szCs w:val="24"/>
              </w:rPr>
              <w:t xml:space="preserve">министрация муниципального образования Кувандыкский городской округ Оренбургской области.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9E5B2C" w:rsidRDefault="009E5B2C" w:rsidP="009E5B2C">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9E5B2C">
              <w:rPr>
                <w:rFonts w:ascii="Times New Roman" w:eastAsia="Calibri" w:hAnsi="Times New Roman"/>
                <w:sz w:val="24"/>
                <w:szCs w:val="24"/>
                <w:lang w:eastAsia="en-US"/>
              </w:rPr>
              <w:t xml:space="preserve">Юридический адрес: </w:t>
            </w:r>
            <w:r w:rsidRPr="009E5B2C">
              <w:rPr>
                <w:rFonts w:ascii="Times New Roman" w:hAnsi="Times New Roman"/>
                <w:sz w:val="24"/>
                <w:szCs w:val="24"/>
              </w:rPr>
              <w:t>462243, Оре</w:t>
            </w:r>
            <w:r w:rsidRPr="009E5B2C">
              <w:rPr>
                <w:rFonts w:ascii="Times New Roman" w:hAnsi="Times New Roman"/>
                <w:sz w:val="24"/>
                <w:szCs w:val="24"/>
              </w:rPr>
              <w:t>н</w:t>
            </w:r>
            <w:r w:rsidRPr="009E5B2C">
              <w:rPr>
                <w:rFonts w:ascii="Times New Roman" w:hAnsi="Times New Roman"/>
                <w:sz w:val="24"/>
                <w:szCs w:val="24"/>
              </w:rPr>
              <w:t>бургская область, г. Кувандык, ул. Оренбургская, дом 20</w:t>
            </w:r>
            <w:r w:rsidRPr="009E5B2C">
              <w:rPr>
                <w:rFonts w:ascii="Times New Roman" w:eastAsia="Calibri" w:hAnsi="Times New Roman"/>
                <w:sz w:val="24"/>
                <w:szCs w:val="24"/>
                <w:lang w:eastAsia="en-US"/>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9E5B2C" w:rsidRPr="009E5B2C" w:rsidRDefault="009E5B2C" w:rsidP="009E5B2C">
            <w:pPr>
              <w:numPr>
                <w:ilvl w:val="0"/>
                <w:numId w:val="5"/>
              </w:numPr>
              <w:tabs>
                <w:tab w:val="left" w:pos="567"/>
                <w:tab w:val="left" w:pos="993"/>
              </w:tabs>
              <w:spacing w:after="0" w:line="240" w:lineRule="auto"/>
              <w:ind w:left="0" w:firstLine="221"/>
              <w:jc w:val="both"/>
              <w:rPr>
                <w:rFonts w:ascii="Times New Roman" w:hAnsi="Times New Roman"/>
                <w:sz w:val="24"/>
                <w:szCs w:val="24"/>
              </w:rPr>
            </w:pPr>
            <w:r w:rsidRPr="009E5B2C">
              <w:rPr>
                <w:rFonts w:ascii="Times New Roman" w:hAnsi="Times New Roman"/>
                <w:sz w:val="24"/>
                <w:szCs w:val="24"/>
              </w:rPr>
              <w:t>Общество с ограниченной ответственностью «Инженерная группа «БСБ». Юридич</w:t>
            </w:r>
            <w:r w:rsidRPr="009E5B2C">
              <w:rPr>
                <w:rFonts w:ascii="Times New Roman" w:hAnsi="Times New Roman"/>
                <w:sz w:val="24"/>
                <w:szCs w:val="24"/>
              </w:rPr>
              <w:t>е</w:t>
            </w:r>
            <w:r w:rsidRPr="009E5B2C">
              <w:rPr>
                <w:rFonts w:ascii="Times New Roman" w:hAnsi="Times New Roman"/>
                <w:sz w:val="24"/>
                <w:szCs w:val="24"/>
              </w:rPr>
              <w:t>ский адрес: 460352, город Оренбург, проспект Победы, дом 13Д. ГИП - Э.Л. Бадалян.</w:t>
            </w:r>
          </w:p>
          <w:p w:rsidR="00391959" w:rsidRPr="009E5B2C" w:rsidRDefault="009E5B2C" w:rsidP="009E5B2C">
            <w:pPr>
              <w:numPr>
                <w:ilvl w:val="0"/>
                <w:numId w:val="5"/>
              </w:numPr>
              <w:tabs>
                <w:tab w:val="left" w:pos="567"/>
                <w:tab w:val="left" w:pos="993"/>
              </w:tabs>
              <w:spacing w:after="0" w:line="240" w:lineRule="auto"/>
              <w:ind w:left="0" w:firstLine="221"/>
              <w:jc w:val="both"/>
              <w:rPr>
                <w:rFonts w:ascii="Times New Roman" w:hAnsi="Times New Roman"/>
                <w:sz w:val="24"/>
                <w:szCs w:val="24"/>
              </w:rPr>
            </w:pPr>
            <w:r w:rsidRPr="009E5B2C">
              <w:rPr>
                <w:rFonts w:ascii="Times New Roman" w:hAnsi="Times New Roman"/>
                <w:sz w:val="24"/>
                <w:szCs w:val="24"/>
              </w:rPr>
              <w:t>Акционерное общество «Газпром газораспределение Оренбург». Адрес места нахо</w:t>
            </w:r>
            <w:r w:rsidRPr="009E5B2C">
              <w:rPr>
                <w:rFonts w:ascii="Times New Roman" w:hAnsi="Times New Roman"/>
                <w:sz w:val="24"/>
                <w:szCs w:val="24"/>
              </w:rPr>
              <w:t>ж</w:t>
            </w:r>
            <w:r w:rsidRPr="009E5B2C">
              <w:rPr>
                <w:rFonts w:ascii="Times New Roman" w:hAnsi="Times New Roman"/>
                <w:sz w:val="24"/>
                <w:szCs w:val="24"/>
              </w:rPr>
              <w:t xml:space="preserve">дения: 460000, Оренбургская область, город Оренбург, улица Краснознаменная, дом 39.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3F49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9E5B2C" w:rsidP="009E5B2C">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9E5B2C">
              <w:rPr>
                <w:rFonts w:ascii="Times New Roman" w:hAnsi="Times New Roman"/>
                <w:sz w:val="24"/>
                <w:szCs w:val="24"/>
              </w:rPr>
              <w:t>д. Тлявгулово, Кувандыкский городской округ</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2D35AA"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56-1-</w:t>
            </w:r>
            <w:r w:rsidR="006A55EE" w:rsidRPr="009E5B2C">
              <w:rPr>
                <w:rFonts w:ascii="Times New Roman" w:hAnsi="Times New Roman" w:cs="Times New Roman"/>
                <w:sz w:val="24"/>
                <w:szCs w:val="24"/>
              </w:rPr>
              <w:t>1-</w:t>
            </w:r>
            <w:r w:rsidR="00DC78D9" w:rsidRPr="009E5B2C">
              <w:rPr>
                <w:rFonts w:ascii="Times New Roman" w:hAnsi="Times New Roman" w:cs="Times New Roman"/>
                <w:sz w:val="24"/>
                <w:szCs w:val="24"/>
              </w:rPr>
              <w:t>2-</w:t>
            </w:r>
            <w:r w:rsidR="001E064A" w:rsidRPr="009E5B2C">
              <w:rPr>
                <w:rFonts w:ascii="Times New Roman" w:hAnsi="Times New Roman" w:cs="Times New Roman"/>
                <w:sz w:val="24"/>
                <w:szCs w:val="24"/>
              </w:rPr>
              <w:t>0</w:t>
            </w:r>
            <w:r w:rsidR="00DD7BF4" w:rsidRPr="009E5B2C">
              <w:rPr>
                <w:rFonts w:ascii="Times New Roman" w:hAnsi="Times New Roman" w:cs="Times New Roman"/>
                <w:sz w:val="24"/>
                <w:szCs w:val="24"/>
              </w:rPr>
              <w:t>3</w:t>
            </w:r>
            <w:r w:rsidR="009E5B2C" w:rsidRPr="009E5B2C">
              <w:rPr>
                <w:rFonts w:ascii="Times New Roman" w:hAnsi="Times New Roman" w:cs="Times New Roman"/>
                <w:sz w:val="24"/>
                <w:szCs w:val="24"/>
              </w:rPr>
              <w:t>1497</w:t>
            </w:r>
            <w:r w:rsidR="008D3C1B" w:rsidRPr="009E5B2C">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Дата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DD7BF4"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lastRenderedPageBreak/>
              <w:t>1</w:t>
            </w:r>
            <w:r w:rsidR="009E5B2C" w:rsidRPr="009E5B2C">
              <w:rPr>
                <w:rFonts w:ascii="Times New Roman" w:hAnsi="Times New Roman" w:cs="Times New Roman"/>
                <w:sz w:val="24"/>
                <w:szCs w:val="24"/>
              </w:rPr>
              <w:t>4</w:t>
            </w:r>
            <w:r w:rsidR="00BF5245" w:rsidRPr="009E5B2C">
              <w:rPr>
                <w:rFonts w:ascii="Times New Roman" w:hAnsi="Times New Roman" w:cs="Times New Roman"/>
                <w:sz w:val="24"/>
                <w:szCs w:val="24"/>
              </w:rPr>
              <w:t>.11</w:t>
            </w:r>
            <w:r w:rsidR="000806F5" w:rsidRPr="009E5B2C">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3F49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9E5B2C" w:rsidRDefault="003F49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E5B2C" w:rsidRDefault="003F49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E5B2C" w:rsidRDefault="003F492C" w:rsidP="009E5B2C">
            <w:pPr>
              <w:pStyle w:val="ConsPlusNormal"/>
              <w:ind w:firstLine="221"/>
              <w:jc w:val="both"/>
              <w:rPr>
                <w:rFonts w:ascii="Times New Roman" w:hAnsi="Times New Roman" w:cs="Times New Roman"/>
                <w:sz w:val="24"/>
                <w:szCs w:val="24"/>
              </w:rPr>
            </w:pPr>
            <w:r w:rsidRPr="009E5B2C">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E5B2C" w:rsidRDefault="009E5B2C" w:rsidP="009E5B2C">
            <w:pPr>
              <w:spacing w:after="0" w:line="240" w:lineRule="auto"/>
              <w:ind w:firstLine="221"/>
              <w:jc w:val="both"/>
              <w:rPr>
                <w:rFonts w:ascii="Times New Roman" w:hAnsi="Times New Roman"/>
                <w:b/>
                <w:bCs/>
                <w:sz w:val="24"/>
                <w:szCs w:val="24"/>
              </w:rPr>
            </w:pPr>
            <w:r w:rsidRPr="009E5B2C">
              <w:rPr>
                <w:rFonts w:ascii="Times New Roman" w:hAnsi="Times New Roman"/>
                <w:sz w:val="24"/>
                <w:szCs w:val="24"/>
              </w:rPr>
              <w:t>Подключения к сетям инженерно-технического обеспечения общего польз</w:t>
            </w:r>
            <w:r w:rsidRPr="009E5B2C">
              <w:rPr>
                <w:rFonts w:ascii="Times New Roman" w:hAnsi="Times New Roman"/>
                <w:sz w:val="24"/>
                <w:szCs w:val="24"/>
              </w:rPr>
              <w:t>о</w:t>
            </w:r>
            <w:r w:rsidRPr="009E5B2C">
              <w:rPr>
                <w:rFonts w:ascii="Times New Roman" w:hAnsi="Times New Roman"/>
                <w:sz w:val="24"/>
                <w:szCs w:val="24"/>
              </w:rPr>
              <w:t>вания</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9E5B2C" w:rsidRDefault="003F492C" w:rsidP="009E5B2C">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F5245" w:rsidRDefault="00FE165B" w:rsidP="00BF524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F5245" w:rsidRDefault="003F492C" w:rsidP="00BF524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DC78D9" w:rsidRDefault="00BF1E24"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C78D9" w:rsidRDefault="009843A9"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DC78D9" w:rsidRDefault="002D35AA" w:rsidP="00DC78D9">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DC78D9" w:rsidRDefault="00DD7BF4" w:rsidP="00BF5245">
            <w:pPr>
              <w:pStyle w:val="2"/>
              <w:shd w:val="clear" w:color="auto" w:fill="auto"/>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51"/>
              <w:tblOverlap w:val="never"/>
              <w:tblW w:w="5000" w:type="pct"/>
              <w:tblLayout w:type="fixed"/>
              <w:tblCellMar>
                <w:left w:w="10" w:type="dxa"/>
                <w:right w:w="10" w:type="dxa"/>
              </w:tblCellMar>
              <w:tblLook w:val="0000"/>
            </w:tblPr>
            <w:tblGrid>
              <w:gridCol w:w="433"/>
              <w:gridCol w:w="5473"/>
              <w:gridCol w:w="736"/>
              <w:gridCol w:w="959"/>
            </w:tblGrid>
            <w:tr w:rsidR="009E5B2C" w:rsidRPr="009E5B2C" w:rsidTr="005C697D">
              <w:trPr>
                <w:trHeight w:val="131"/>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Наименование показателя</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Ед. изм.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По проекту</w:t>
                  </w:r>
                </w:p>
              </w:tc>
            </w:tr>
            <w:tr w:rsidR="009E5B2C" w:rsidRPr="009E5B2C" w:rsidTr="005C697D">
              <w:trPr>
                <w:trHeight w:val="132"/>
              </w:trPr>
              <w:tc>
                <w:tcPr>
                  <w:tcW w:w="5000" w:type="pct"/>
                  <w:gridSpan w:val="4"/>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jc w:val="center"/>
                    <w:rPr>
                      <w:rFonts w:ascii="Times New Roman" w:hAnsi="Times New Roman"/>
                      <w:i/>
                      <w:sz w:val="20"/>
                      <w:szCs w:val="20"/>
                    </w:rPr>
                  </w:pPr>
                  <w:r w:rsidRPr="009E5B2C">
                    <w:rPr>
                      <w:rFonts w:ascii="Times New Roman" w:hAnsi="Times New Roman"/>
                      <w:iCs/>
                      <w:sz w:val="20"/>
                      <w:szCs w:val="20"/>
                    </w:rPr>
                    <w:t>Сети водоснабжения</w:t>
                  </w:r>
                </w:p>
              </w:tc>
            </w:tr>
            <w:tr w:rsidR="009E5B2C" w:rsidRPr="009E5B2C" w:rsidTr="005C697D">
              <w:trPr>
                <w:trHeight w:val="53"/>
              </w:trPr>
              <w:tc>
                <w:tcPr>
                  <w:tcW w:w="285"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hAnsi="Times New Roman"/>
                      <w:sz w:val="20"/>
                      <w:szCs w:val="20"/>
                      <w:shd w:val="clear" w:color="auto" w:fill="FFFFFF"/>
                    </w:rPr>
                    <w:t xml:space="preserve">Общая протяженность сетей водопровода </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4576,00</w:t>
                  </w:r>
                </w:p>
              </w:tc>
            </w:tr>
            <w:tr w:rsidR="009E5B2C" w:rsidRPr="009E5B2C" w:rsidTr="005C697D">
              <w:trPr>
                <w:trHeight w:val="277"/>
              </w:trPr>
              <w:tc>
                <w:tcPr>
                  <w:tcW w:w="285"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2</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hAnsi="Times New Roman"/>
                      <w:sz w:val="20"/>
                      <w:szCs w:val="20"/>
                      <w:shd w:val="clear" w:color="auto" w:fill="FFFFFF"/>
                    </w:rPr>
                    <w:t xml:space="preserve">Общая протяженность проектируемой </w:t>
                  </w:r>
                  <w:r w:rsidRPr="009E5B2C">
                    <w:rPr>
                      <w:rFonts w:ascii="Times New Roman" w:hAnsi="Times New Roman"/>
                      <w:bCs/>
                      <w:sz w:val="20"/>
                      <w:szCs w:val="20"/>
                      <w:shd w:val="clear" w:color="auto" w:fill="FFFFFF"/>
                    </w:rPr>
                    <w:t>трассы</w:t>
                  </w:r>
                  <w:r w:rsidRPr="009E5B2C">
                    <w:rPr>
                      <w:rFonts w:ascii="Times New Roman" w:hAnsi="Times New Roman"/>
                      <w:sz w:val="20"/>
                      <w:szCs w:val="20"/>
                      <w:shd w:val="clear" w:color="auto" w:fill="FFFFFF"/>
                    </w:rPr>
                    <w:t xml:space="preserve"> водопровода </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TimesNewRomanPSMT-Identity-H" w:hAnsi="Times New Roman" w:cs="Times New Roman"/>
                      <w:sz w:val="20"/>
                      <w:szCs w:val="20"/>
                    </w:rPr>
                  </w:pPr>
                  <w:r w:rsidRPr="009E5B2C">
                    <w:rPr>
                      <w:rFonts w:ascii="Times New Roman" w:eastAsia="TimesNewRomanPSMT-Identity-H" w:hAnsi="Times New Roman" w:cs="Times New Roman"/>
                      <w:sz w:val="20"/>
                      <w:szCs w:val="20"/>
                    </w:rPr>
                    <w:t>4412,3</w:t>
                  </w:r>
                </w:p>
              </w:tc>
            </w:tr>
            <w:tr w:rsidR="009E5B2C" w:rsidRPr="009E5B2C" w:rsidTr="005C697D">
              <w:trPr>
                <w:trHeight w:val="277"/>
              </w:trPr>
              <w:tc>
                <w:tcPr>
                  <w:tcW w:w="285" w:type="pct"/>
                  <w:vMerge w:val="restar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3</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Протяженность проектируемой сети водопровода в одну нитку:</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r>
            <w:tr w:rsidR="009E5B2C" w:rsidRPr="009E5B2C" w:rsidTr="005C697D">
              <w:trPr>
                <w:trHeight w:val="20"/>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 из труб ПЭ80SDR21-160х7,7 питьевая ГОСТ18599-2001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TimesNewRomanPSMT-Identity-H" w:hAnsi="Times New Roman" w:cs="Times New Roman"/>
                      <w:sz w:val="20"/>
                      <w:szCs w:val="20"/>
                    </w:rPr>
                    <w:t>285,60</w:t>
                  </w:r>
                </w:p>
              </w:tc>
            </w:tr>
            <w:tr w:rsidR="009E5B2C" w:rsidRPr="009E5B2C" w:rsidTr="005C697D">
              <w:trPr>
                <w:trHeight w:val="53"/>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 из труб ПЭ80SDR21-110х5,3 питьевая ГОСТ18599-2001</w:t>
                  </w:r>
                </w:p>
              </w:tc>
              <w:tc>
                <w:tcPr>
                  <w:tcW w:w="484"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TimesNewRomanPSMT-Identity-H" w:hAnsi="Times New Roman" w:cs="Times New Roman"/>
                      <w:sz w:val="20"/>
                      <w:szCs w:val="20"/>
                    </w:rPr>
                    <w:t>3963,0</w:t>
                  </w:r>
                </w:p>
              </w:tc>
            </w:tr>
            <w:tr w:rsidR="009E5B2C" w:rsidRPr="009E5B2C" w:rsidTr="005C697D">
              <w:trPr>
                <w:trHeight w:val="2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4</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Пропускная способность трубопроводов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л/с</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z w:val="20"/>
                      <w:szCs w:val="20"/>
                    </w:rPr>
                    <w:t>13,3</w:t>
                  </w:r>
                </w:p>
              </w:tc>
            </w:tr>
            <w:tr w:rsidR="009E5B2C" w:rsidRPr="009E5B2C" w:rsidTr="005C697D">
              <w:trPr>
                <w:trHeight w:val="245"/>
              </w:trPr>
              <w:tc>
                <w:tcPr>
                  <w:tcW w:w="285" w:type="pct"/>
                  <w:vMerge w:val="restar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5</w:t>
                  </w:r>
                </w:p>
              </w:tc>
              <w:tc>
                <w:tcPr>
                  <w:tcW w:w="360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Протяженность проектируемой сети водопровода в две нитки:</w:t>
                  </w:r>
                </w:p>
              </w:tc>
              <w:tc>
                <w:tcPr>
                  <w:tcW w:w="484"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r>
            <w:tr w:rsidR="009E5B2C" w:rsidRPr="009E5B2C" w:rsidTr="005C697D">
              <w:trPr>
                <w:trHeight w:val="53"/>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 из труб ПЭ80 SDR21- 160х7,7 питьевая ГОСТ 18599-2001</w:t>
                  </w:r>
                </w:p>
              </w:tc>
              <w:tc>
                <w:tcPr>
                  <w:tcW w:w="484"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TimesNewRomanPSMT-Identity-H" w:hAnsi="Times New Roman" w:cs="Times New Roman"/>
                      <w:sz w:val="20"/>
                      <w:szCs w:val="20"/>
                    </w:rPr>
                    <w:t>163,70</w:t>
                  </w:r>
                </w:p>
              </w:tc>
            </w:tr>
            <w:tr w:rsidR="009E5B2C" w:rsidRPr="009E5B2C" w:rsidTr="005C697D">
              <w:trPr>
                <w:trHeight w:val="539"/>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tabs>
                      <w:tab w:val="left" w:pos="567"/>
                      <w:tab w:val="left" w:pos="992"/>
                    </w:tabs>
                    <w:spacing w:before="0" w:line="240" w:lineRule="auto"/>
                    <w:ind w:firstLine="0"/>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rPr>
                      <w:rFonts w:ascii="Times New Roman" w:hAnsi="Times New Roman"/>
                      <w:sz w:val="20"/>
                      <w:szCs w:val="20"/>
                    </w:rPr>
                  </w:pPr>
                  <w:r w:rsidRPr="009E5B2C">
                    <w:rPr>
                      <w:rFonts w:ascii="Times New Roman" w:eastAsia="TimesNewRomanPSMT-Identity-H" w:hAnsi="Times New Roman"/>
                      <w:sz w:val="20"/>
                      <w:szCs w:val="20"/>
                    </w:rPr>
                    <w:t>- пропускная способность трубопроводов сети водопровода (в том числе на пожаротушение 17,6 л/с)</w:t>
                  </w:r>
                </w:p>
              </w:tc>
              <w:tc>
                <w:tcPr>
                  <w:tcW w:w="484"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TimesNewRomanPSMT-Identity-H" w:hAnsi="Times New Roman" w:cs="Times New Roman"/>
                      <w:sz w:val="20"/>
                      <w:szCs w:val="20"/>
                    </w:rPr>
                    <w:t>л/с</w:t>
                  </w:r>
                </w:p>
              </w:tc>
              <w:tc>
                <w:tcPr>
                  <w:tcW w:w="630" w:type="pc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TimesNewRomanPSMT-Identity-H" w:hAnsi="Times New Roman" w:cs="Times New Roman"/>
                      <w:sz w:val="20"/>
                      <w:szCs w:val="20"/>
                    </w:rPr>
                    <w:t>26,36</w:t>
                  </w:r>
                </w:p>
              </w:tc>
            </w:tr>
            <w:tr w:rsidR="009E5B2C" w:rsidRPr="009E5B2C" w:rsidTr="005C697D">
              <w:trPr>
                <w:trHeight w:val="5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jc w:val="center"/>
                    <w:rPr>
                      <w:rFonts w:ascii="Times New Roman" w:hAnsi="Times New Roman"/>
                      <w:sz w:val="20"/>
                      <w:szCs w:val="20"/>
                    </w:rPr>
                  </w:pPr>
                  <w:r w:rsidRPr="009E5B2C">
                    <w:rPr>
                      <w:rFonts w:ascii="Times New Roman" w:hAnsi="Times New Roman"/>
                      <w:sz w:val="20"/>
                      <w:szCs w:val="20"/>
                    </w:rPr>
                    <w:t>Газораспределительные сети</w:t>
                  </w:r>
                </w:p>
              </w:tc>
            </w:tr>
            <w:tr w:rsidR="009E5B2C" w:rsidRPr="009E5B2C" w:rsidTr="005C697D">
              <w:trPr>
                <w:trHeight w:val="53"/>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6</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Общий расход газа (с учётом перспективного подключения)</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jc w:val="center"/>
                    <w:rPr>
                      <w:rFonts w:ascii="Times New Roman" w:hAnsi="Times New Roman"/>
                      <w:sz w:val="20"/>
                      <w:szCs w:val="20"/>
                    </w:rPr>
                  </w:pPr>
                  <w:r w:rsidRPr="009E5B2C">
                    <w:rPr>
                      <w:rFonts w:ascii="Times New Roman" w:hAnsi="Times New Roman"/>
                      <w:sz w:val="20"/>
                      <w:szCs w:val="20"/>
                    </w:rPr>
                    <w:t>м³/час</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947,857</w:t>
                  </w:r>
                </w:p>
              </w:tc>
            </w:tr>
            <w:tr w:rsidR="009E5B2C" w:rsidRPr="009E5B2C" w:rsidTr="005C697D">
              <w:trPr>
                <w:trHeight w:val="53"/>
              </w:trPr>
              <w:tc>
                <w:tcPr>
                  <w:tcW w:w="285" w:type="pct"/>
                  <w:vMerge w:val="restart"/>
                  <w:tcBorders>
                    <w:top w:val="single" w:sz="4" w:space="0" w:color="auto"/>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7</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autoSpaceDE w:val="0"/>
                    <w:autoSpaceDN w:val="0"/>
                    <w:adjustRightInd w:val="0"/>
                    <w:spacing w:after="0" w:line="240" w:lineRule="auto"/>
                    <w:contextualSpacing/>
                    <w:rPr>
                      <w:rFonts w:ascii="Times New Roman" w:hAnsi="Times New Roman"/>
                      <w:sz w:val="20"/>
                      <w:szCs w:val="20"/>
                    </w:rPr>
                  </w:pPr>
                  <w:r w:rsidRPr="009E5B2C">
                    <w:rPr>
                      <w:rFonts w:ascii="Times New Roman" w:hAnsi="Times New Roman"/>
                      <w:sz w:val="20"/>
                      <w:szCs w:val="20"/>
                    </w:rPr>
                    <w:t>Газопровод высокого давления Г3: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r>
            <w:tr w:rsidR="009E5B2C" w:rsidRPr="009E5B2C" w:rsidTr="005C697D">
              <w:trPr>
                <w:trHeight w:val="53"/>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108х4 (подземно)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4,0</w:t>
                  </w:r>
                </w:p>
              </w:tc>
            </w:tr>
            <w:tr w:rsidR="009E5B2C" w:rsidRPr="009E5B2C" w:rsidTr="005C697D">
              <w:trPr>
                <w:trHeight w:val="28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108х4 (надземно)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2,0</w:t>
                  </w:r>
                </w:p>
              </w:tc>
            </w:tr>
            <w:tr w:rsidR="009E5B2C" w:rsidRPr="009E5B2C" w:rsidTr="005C697D">
              <w:trPr>
                <w:trHeight w:val="278"/>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ПЭ100 ГАЗ SDR 11 - 110х10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73,5</w:t>
                  </w:r>
                </w:p>
              </w:tc>
            </w:tr>
            <w:tr w:rsidR="009E5B2C" w:rsidRPr="009E5B2C" w:rsidTr="005C697D">
              <w:trPr>
                <w:trHeight w:val="26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z w:val="20"/>
                      <w:szCs w:val="20"/>
                    </w:rPr>
                    <w:t>Газопровод низкого давления Г2:</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r>
            <w:tr w:rsidR="009E5B2C" w:rsidRPr="009E5B2C" w:rsidTr="005C697D">
              <w:trPr>
                <w:trHeight w:val="26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108х4 (подземно)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3,0</w:t>
                  </w:r>
                </w:p>
              </w:tc>
            </w:tr>
            <w:tr w:rsidR="009E5B2C" w:rsidRPr="009E5B2C" w:rsidTr="005C697D">
              <w:trPr>
                <w:trHeight w:val="26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108х4 (надземно)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3,0</w:t>
                  </w:r>
                </w:p>
              </w:tc>
            </w:tr>
            <w:tr w:rsidR="009E5B2C" w:rsidRPr="009E5B2C" w:rsidTr="005C697D">
              <w:trPr>
                <w:trHeight w:val="26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Ø57х3 (подземно)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26,0</w:t>
                  </w:r>
                </w:p>
              </w:tc>
            </w:tr>
            <w:tr w:rsidR="009E5B2C" w:rsidRPr="009E5B2C" w:rsidTr="005C697D">
              <w:trPr>
                <w:trHeight w:val="267"/>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Ø57х3 (надземно)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13,0</w:t>
                  </w:r>
                </w:p>
              </w:tc>
            </w:tr>
            <w:tr w:rsidR="009E5B2C" w:rsidRPr="009E5B2C" w:rsidTr="005C697D">
              <w:trPr>
                <w:trHeight w:val="272"/>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Ø32х3 (подземно)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354,0</w:t>
                  </w:r>
                </w:p>
              </w:tc>
            </w:tr>
            <w:tr w:rsidR="009E5B2C" w:rsidRPr="009E5B2C" w:rsidTr="005C697D">
              <w:trPr>
                <w:trHeight w:val="275"/>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стальные электросварные Ø32х3 (надземно)</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177,0</w:t>
                  </w:r>
                </w:p>
              </w:tc>
            </w:tr>
            <w:tr w:rsidR="009E5B2C" w:rsidRPr="009E5B2C" w:rsidTr="005C697D">
              <w:trPr>
                <w:trHeight w:val="138"/>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ПЭ80 ГАЗ SDR 11 - 110х10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1062,0</w:t>
                  </w:r>
                </w:p>
              </w:tc>
            </w:tr>
            <w:tr w:rsidR="009E5B2C" w:rsidRPr="009E5B2C" w:rsidTr="005C697D">
              <w:trPr>
                <w:trHeight w:val="53"/>
              </w:trPr>
              <w:tc>
                <w:tcPr>
                  <w:tcW w:w="285" w:type="pct"/>
                  <w:vMerge/>
                  <w:tcBorders>
                    <w:left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ПЭ80 ГАЗ SDR 11 - 63х5,8</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5201,0</w:t>
                  </w:r>
                </w:p>
              </w:tc>
            </w:tr>
            <w:tr w:rsidR="009E5B2C" w:rsidRPr="009E5B2C" w:rsidTr="005C697D">
              <w:trPr>
                <w:trHeight w:val="274"/>
              </w:trPr>
              <w:tc>
                <w:tcPr>
                  <w:tcW w:w="285" w:type="pct"/>
                  <w:vMerge/>
                  <w:tcBorders>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 трубы ПЭ80 ГАЗ SDR 11 - 32х3</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9E5B2C" w:rsidRPr="009E5B2C" w:rsidRDefault="009E5B2C" w:rsidP="009E5B2C">
                  <w:pPr>
                    <w:spacing w:after="0" w:line="240" w:lineRule="auto"/>
                    <w:contextualSpacing/>
                    <w:jc w:val="center"/>
                    <w:rPr>
                      <w:rFonts w:ascii="Times New Roman" w:hAnsi="Times New Roman"/>
                      <w:sz w:val="20"/>
                      <w:szCs w:val="20"/>
                    </w:rPr>
                  </w:pPr>
                  <w:r w:rsidRPr="009E5B2C">
                    <w:rPr>
                      <w:rFonts w:ascii="Times New Roman" w:hAnsi="Times New Roman"/>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1334,5</w:t>
                  </w:r>
                </w:p>
              </w:tc>
            </w:tr>
            <w:tr w:rsidR="009E5B2C" w:rsidRPr="009E5B2C" w:rsidTr="005C697D">
              <w:trPr>
                <w:trHeight w:val="53"/>
              </w:trPr>
              <w:tc>
                <w:tcPr>
                  <w:tcW w:w="5000" w:type="pct"/>
                  <w:gridSpan w:val="4"/>
                  <w:tcBorders>
                    <w:top w:val="single" w:sz="4" w:space="0" w:color="auto"/>
                    <w:left w:val="single" w:sz="4" w:space="0" w:color="auto"/>
                    <w:bottom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Сети электроснабжения</w:t>
                  </w:r>
                </w:p>
              </w:tc>
            </w:tr>
            <w:tr w:rsidR="009E5B2C" w:rsidRPr="009E5B2C" w:rsidTr="005C697D">
              <w:trPr>
                <w:trHeight w:val="342"/>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8</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КТП с ТМГ-250кВА (КТП №1-ПВВ-250-10/0,4 кВ, КТП №3-ТВ-250-10/0,4 кВ)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шт.</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2</w:t>
                  </w:r>
                </w:p>
              </w:tc>
            </w:tr>
            <w:tr w:rsidR="009E5B2C" w:rsidRPr="009E5B2C" w:rsidTr="005C697D">
              <w:trPr>
                <w:trHeight w:val="342"/>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9</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КТП с ТМГ-400кВА ((КТП №2-ТВ-400-10/0,4 кВ, КТП №4-ТВ-400-10/0,4 кВ)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шт.</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2</w:t>
                  </w:r>
                </w:p>
              </w:tc>
            </w:tr>
            <w:tr w:rsidR="009E5B2C" w:rsidRPr="009E5B2C" w:rsidTr="005C697D">
              <w:trPr>
                <w:trHeight w:val="27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10</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Строительная длина КЛ-10кВ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508</w:t>
                  </w:r>
                </w:p>
              </w:tc>
            </w:tr>
            <w:tr w:rsidR="009E5B2C" w:rsidRPr="009E5B2C" w:rsidTr="005C697D">
              <w:trPr>
                <w:trHeight w:val="26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11</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Строительная длина ВЛЗ-10кВ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1503</w:t>
                  </w:r>
                </w:p>
              </w:tc>
            </w:tr>
            <w:tr w:rsidR="009E5B2C" w:rsidRPr="009E5B2C" w:rsidTr="005C697D">
              <w:trPr>
                <w:trHeight w:val="26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12</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Строительная длина ВЛИ-0,4кВ</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contextualSpacing/>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7206</w:t>
                  </w:r>
                </w:p>
              </w:tc>
            </w:tr>
            <w:tr w:rsidR="009E5B2C" w:rsidRPr="009E5B2C" w:rsidTr="005C697D">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13</w:t>
                  </w:r>
                </w:p>
              </w:tc>
              <w:tc>
                <w:tcPr>
                  <w:tcW w:w="360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left"/>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Продолжительность строительства</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мес.</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9E5B2C" w:rsidRPr="009E5B2C" w:rsidRDefault="009E5B2C" w:rsidP="009E5B2C">
                  <w:pPr>
                    <w:pStyle w:val="11"/>
                    <w:shd w:val="clear" w:color="auto" w:fill="auto"/>
                    <w:tabs>
                      <w:tab w:val="left" w:pos="567"/>
                      <w:tab w:val="left" w:pos="992"/>
                    </w:tabs>
                    <w:spacing w:before="0" w:line="240" w:lineRule="auto"/>
                    <w:ind w:firstLine="0"/>
                    <w:jc w:val="center"/>
                    <w:rPr>
                      <w:rFonts w:ascii="Times New Roman" w:eastAsia="Calibri" w:hAnsi="Times New Roman" w:cs="Times New Roman"/>
                      <w:spacing w:val="0"/>
                      <w:sz w:val="20"/>
                      <w:szCs w:val="20"/>
                    </w:rPr>
                  </w:pPr>
                  <w:r w:rsidRPr="009E5B2C">
                    <w:rPr>
                      <w:rFonts w:ascii="Times New Roman" w:eastAsia="Calibri" w:hAnsi="Times New Roman" w:cs="Times New Roman"/>
                      <w:spacing w:val="0"/>
                      <w:sz w:val="20"/>
                      <w:szCs w:val="20"/>
                    </w:rPr>
                    <w:t>7</w:t>
                  </w:r>
                </w:p>
              </w:tc>
            </w:tr>
          </w:tbl>
          <w:p w:rsidR="00DC78D9" w:rsidRPr="00DC78D9" w:rsidRDefault="00DC78D9" w:rsidP="00DC78D9">
            <w:pPr>
              <w:tabs>
                <w:tab w:val="left" w:pos="993"/>
              </w:tabs>
              <w:spacing w:after="0" w:line="240" w:lineRule="auto"/>
              <w:ind w:firstLine="221"/>
              <w:jc w:val="both"/>
              <w:rPr>
                <w:rFonts w:ascii="Times New Roman" w:eastAsia="Calibri" w:hAnsi="Times New Roman"/>
                <w:sz w:val="24"/>
                <w:szCs w:val="24"/>
                <w:lang w:eastAsia="en-US"/>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A11DFA"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w:t>
            </w:r>
            <w:r w:rsidR="00DC78D9" w:rsidRPr="00DC78D9">
              <w:rPr>
                <w:rFonts w:ascii="Times New Roman" w:hAnsi="Times New Roman" w:cs="Times New Roman"/>
                <w:sz w:val="24"/>
                <w:szCs w:val="24"/>
                <w:lang w:val="en-US"/>
              </w:rPr>
              <w:t>IIA</w:t>
            </w:r>
          </w:p>
          <w:p w:rsidR="00F97ADD" w:rsidRPr="00DC78D9" w:rsidRDefault="00F97ADD" w:rsidP="00DC78D9">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DC78D9" w:rsidP="00DC78D9">
            <w:pPr>
              <w:pStyle w:val="ConsPlusNormal"/>
              <w:ind w:firstLine="221"/>
              <w:jc w:val="both"/>
              <w:rPr>
                <w:rFonts w:ascii="Times New Roman" w:hAnsi="Times New Roman" w:cs="Times New Roman"/>
                <w:sz w:val="24"/>
                <w:szCs w:val="24"/>
              </w:rPr>
            </w:pPr>
            <w:r w:rsidRPr="00DC78D9">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C78D9" w:rsidRDefault="003F492C" w:rsidP="00DC78D9">
            <w:pPr>
              <w:pStyle w:val="ConsPlusNormal"/>
              <w:ind w:firstLine="221"/>
              <w:jc w:val="both"/>
              <w:rPr>
                <w:rFonts w:ascii="Times New Roman" w:hAnsi="Times New Roman" w:cs="Times New Roman"/>
                <w:sz w:val="24"/>
                <w:szCs w:val="24"/>
                <w:lang w:val="en-US"/>
              </w:rPr>
            </w:pPr>
            <w:r w:rsidRPr="00DC78D9">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67" w:rsidRDefault="00911C67" w:rsidP="00391959">
      <w:pPr>
        <w:spacing w:after="0" w:line="240" w:lineRule="auto"/>
      </w:pPr>
      <w:r>
        <w:separator/>
      </w:r>
    </w:p>
  </w:endnote>
  <w:endnote w:type="continuationSeparator" w:id="1">
    <w:p w:rsidR="00911C67" w:rsidRDefault="00911C67"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67" w:rsidRDefault="00911C67" w:rsidP="00391959">
      <w:pPr>
        <w:spacing w:after="0" w:line="240" w:lineRule="auto"/>
      </w:pPr>
      <w:r>
        <w:separator/>
      </w:r>
    </w:p>
  </w:footnote>
  <w:footnote w:type="continuationSeparator" w:id="1">
    <w:p w:rsidR="00911C67" w:rsidRDefault="00911C67"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217BF7"/>
    <w:rsid w:val="00217ECB"/>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834B9"/>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2AC6"/>
    <w:rsid w:val="00851848"/>
    <w:rsid w:val="00851AB3"/>
    <w:rsid w:val="00852A4E"/>
    <w:rsid w:val="00853ED5"/>
    <w:rsid w:val="0085456B"/>
    <w:rsid w:val="00856AD9"/>
    <w:rsid w:val="00860E88"/>
    <w:rsid w:val="008912E7"/>
    <w:rsid w:val="008938B0"/>
    <w:rsid w:val="008A2B27"/>
    <w:rsid w:val="008B3E0D"/>
    <w:rsid w:val="008C2CC3"/>
    <w:rsid w:val="008D3C1B"/>
    <w:rsid w:val="008E076C"/>
    <w:rsid w:val="008F276B"/>
    <w:rsid w:val="008F3489"/>
    <w:rsid w:val="00906F6B"/>
    <w:rsid w:val="009100EA"/>
    <w:rsid w:val="00911C67"/>
    <w:rsid w:val="00912D4E"/>
    <w:rsid w:val="0097524E"/>
    <w:rsid w:val="00981642"/>
    <w:rsid w:val="00983743"/>
    <w:rsid w:val="009843A9"/>
    <w:rsid w:val="009C053C"/>
    <w:rsid w:val="009C34B3"/>
    <w:rsid w:val="009D3A4F"/>
    <w:rsid w:val="009E1398"/>
    <w:rsid w:val="009E5B2C"/>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37CE"/>
    <w:rsid w:val="00CE643E"/>
    <w:rsid w:val="00CE74C1"/>
    <w:rsid w:val="00CF1557"/>
    <w:rsid w:val="00CF1912"/>
    <w:rsid w:val="00CF785B"/>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2019-11-21T04:48:00Z</dcterms:created>
  <dcterms:modified xsi:type="dcterms:W3CDTF">2019-11-21T04:51:00Z</dcterms:modified>
</cp:coreProperties>
</file>